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闫广恩</w:t>
      </w:r>
      <w:r>
        <w:rPr>
          <w:rFonts w:hint="eastAsia"/>
          <w:sz w:val="15"/>
          <w:szCs w:val="15"/>
          <w:highlight w:val="none"/>
        </w:rPr>
        <w:t>，</w:t>
      </w:r>
      <w:r>
        <w:rPr>
          <w:rFonts w:hint="eastAsia"/>
          <w:sz w:val="15"/>
          <w:szCs w:val="15"/>
          <w:highlight w:val="none"/>
          <w:lang w:val="en-US" w:eastAsia="zh-CN"/>
        </w:rPr>
        <w:t>13012619840728301X</w:t>
      </w:r>
      <w:r>
        <w:rPr>
          <w:rFonts w:hint="eastAsia"/>
          <w:sz w:val="15"/>
          <w:szCs w:val="15"/>
        </w:rPr>
        <w:t xml:space="preserve">  </w:t>
      </w:r>
      <w:r>
        <w:rPr>
          <w:rFonts w:hint="eastAsia"/>
          <w:sz w:val="15"/>
          <w:szCs w:val="15"/>
          <w:lang w:val="en-US" w:eastAsia="zh-CN"/>
        </w:rPr>
        <w:t>京A18718D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