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闫江卫</w:t>
      </w:r>
      <w:r>
        <w:rPr>
          <w:rFonts w:hint="eastAsia"/>
          <w:sz w:val="15"/>
          <w:szCs w:val="15"/>
          <w:highlight w:val="none"/>
        </w:rPr>
        <w:t>，</w:t>
      </w:r>
      <w:r>
        <w:rPr>
          <w:rFonts w:hint="eastAsia"/>
          <w:sz w:val="15"/>
          <w:szCs w:val="15"/>
          <w:highlight w:val="none"/>
          <w:lang w:val="en-US" w:eastAsia="zh-CN"/>
        </w:rPr>
        <w:t>130126198312243015</w:t>
      </w:r>
      <w:r>
        <w:rPr>
          <w:rFonts w:hint="eastAsia"/>
          <w:sz w:val="15"/>
          <w:szCs w:val="15"/>
        </w:rPr>
        <w:t xml:space="preserve">  </w:t>
      </w:r>
      <w:r>
        <w:rPr>
          <w:rFonts w:hint="eastAsia"/>
          <w:sz w:val="15"/>
          <w:szCs w:val="15"/>
          <w:lang w:val="en-US" w:eastAsia="zh-CN"/>
        </w:rPr>
        <w:t>冀A7476U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