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安伟波</w:t>
      </w:r>
      <w:r>
        <w:rPr>
          <w:rFonts w:hint="eastAsia"/>
          <w:sz w:val="15"/>
          <w:szCs w:val="15"/>
          <w:highlight w:val="none"/>
        </w:rPr>
        <w:t>，</w:t>
      </w:r>
      <w:r>
        <w:rPr>
          <w:rFonts w:hint="eastAsia"/>
          <w:sz w:val="15"/>
          <w:szCs w:val="15"/>
          <w:highlight w:val="none"/>
          <w:lang w:val="en-US" w:eastAsia="zh-CN"/>
        </w:rPr>
        <w:t>13013119840412003X</w:t>
      </w:r>
      <w:r>
        <w:rPr>
          <w:rFonts w:hint="eastAsia"/>
          <w:sz w:val="15"/>
          <w:szCs w:val="15"/>
        </w:rPr>
        <w:t xml:space="preserve">  </w:t>
      </w:r>
      <w:r>
        <w:rPr>
          <w:rFonts w:hint="eastAsia"/>
          <w:sz w:val="15"/>
          <w:szCs w:val="15"/>
          <w:lang w:val="en-US" w:eastAsia="zh-CN"/>
        </w:rPr>
        <w:t>沪A56667D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