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商志军</w:t>
      </w:r>
      <w:r>
        <w:rPr>
          <w:rFonts w:hint="eastAsia"/>
          <w:sz w:val="15"/>
          <w:szCs w:val="15"/>
          <w:highlight w:val="none"/>
        </w:rPr>
        <w:t>，</w:t>
      </w:r>
      <w:r>
        <w:rPr>
          <w:rFonts w:hint="eastAsia"/>
          <w:sz w:val="15"/>
          <w:szCs w:val="15"/>
          <w:highlight w:val="none"/>
          <w:lang w:val="en-US" w:eastAsia="zh-CN"/>
        </w:rPr>
        <w:t>130131198109260013</w:t>
      </w:r>
      <w:r>
        <w:rPr>
          <w:rFonts w:hint="eastAsia"/>
          <w:sz w:val="15"/>
          <w:szCs w:val="15"/>
        </w:rPr>
        <w:t xml:space="preserve">  </w:t>
      </w:r>
      <w:r>
        <w:rPr>
          <w:rFonts w:hint="eastAsia"/>
          <w:sz w:val="15"/>
          <w:szCs w:val="15"/>
          <w:lang w:val="en-US" w:eastAsia="zh-CN"/>
        </w:rPr>
        <w:t>冀A45855D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