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赵辰阳</w:t>
      </w:r>
      <w:r>
        <w:rPr>
          <w:rFonts w:hint="eastAsia"/>
          <w:sz w:val="15"/>
          <w:szCs w:val="15"/>
          <w:highlight w:val="none"/>
        </w:rPr>
        <w:t>，</w:t>
      </w:r>
      <w:r>
        <w:rPr>
          <w:rFonts w:hint="eastAsia"/>
          <w:sz w:val="15"/>
          <w:szCs w:val="15"/>
          <w:highlight w:val="none"/>
          <w:lang w:val="en-US" w:eastAsia="zh-CN"/>
        </w:rPr>
        <w:t>130126198803172717</w:t>
      </w:r>
      <w:r>
        <w:rPr>
          <w:rFonts w:hint="eastAsia"/>
          <w:sz w:val="15"/>
          <w:szCs w:val="15"/>
        </w:rPr>
        <w:t xml:space="preserve">  </w:t>
      </w:r>
      <w:r>
        <w:rPr>
          <w:rFonts w:hint="eastAsia"/>
          <w:sz w:val="15"/>
          <w:szCs w:val="15"/>
          <w:lang w:val="en-US" w:eastAsia="zh-CN"/>
        </w:rPr>
        <w:t>冀A3782U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