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631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杨振飞</w:t>
      </w:r>
      <w:r>
        <w:rPr>
          <w:rFonts w:hint="eastAsia"/>
          <w:sz w:val="15"/>
          <w:szCs w:val="15"/>
          <w:highlight w:val="none"/>
        </w:rPr>
        <w:t>，</w:t>
      </w:r>
      <w:r>
        <w:rPr>
          <w:rFonts w:hint="eastAsia"/>
          <w:sz w:val="15"/>
          <w:szCs w:val="15"/>
          <w:highlight w:val="none"/>
          <w:lang w:val="en-US" w:eastAsia="zh-CN"/>
        </w:rPr>
        <w:t>130126198707112714</w:t>
      </w:r>
      <w:r>
        <w:rPr>
          <w:rFonts w:hint="eastAsia"/>
          <w:sz w:val="15"/>
          <w:szCs w:val="15"/>
        </w:rPr>
        <w:t xml:space="preserve">  </w:t>
      </w:r>
      <w:r>
        <w:rPr>
          <w:rFonts w:hint="eastAsia"/>
          <w:sz w:val="15"/>
          <w:szCs w:val="15"/>
          <w:lang w:val="en-US" w:eastAsia="zh-CN"/>
        </w:rPr>
        <w:t>冀A32238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