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王金亮</w:t>
      </w:r>
      <w:r>
        <w:rPr>
          <w:rFonts w:hint="eastAsia"/>
          <w:sz w:val="15"/>
          <w:szCs w:val="15"/>
          <w:highlight w:val="none"/>
        </w:rPr>
        <w:t>，</w:t>
      </w:r>
      <w:r>
        <w:rPr>
          <w:rFonts w:hint="eastAsia"/>
          <w:sz w:val="15"/>
          <w:szCs w:val="15"/>
          <w:highlight w:val="none"/>
          <w:lang w:val="en-US" w:eastAsia="zh-CN"/>
        </w:rPr>
        <w:t>13293019850615431X</w:t>
      </w:r>
      <w:r>
        <w:rPr>
          <w:rFonts w:hint="eastAsia"/>
          <w:sz w:val="15"/>
          <w:szCs w:val="15"/>
        </w:rPr>
        <w:t xml:space="preserve">  </w:t>
      </w:r>
      <w:r>
        <w:rPr>
          <w:rFonts w:hint="eastAsia"/>
          <w:sz w:val="15"/>
          <w:szCs w:val="15"/>
          <w:lang w:val="en-US" w:eastAsia="zh-CN"/>
        </w:rPr>
        <w:t>冀J09116D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