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刘延程</w:t>
      </w:r>
      <w:r>
        <w:rPr>
          <w:rFonts w:hint="eastAsia"/>
          <w:sz w:val="15"/>
          <w:szCs w:val="15"/>
          <w:highlight w:val="none"/>
        </w:rPr>
        <w:t>，</w:t>
      </w:r>
      <w:r>
        <w:rPr>
          <w:rFonts w:hint="eastAsia"/>
          <w:sz w:val="15"/>
          <w:szCs w:val="15"/>
          <w:highlight w:val="none"/>
          <w:lang w:val="en-US" w:eastAsia="zh-CN"/>
        </w:rPr>
        <w:t>130126198604160617</w:t>
      </w:r>
      <w:r>
        <w:rPr>
          <w:rFonts w:hint="eastAsia"/>
          <w:sz w:val="15"/>
          <w:szCs w:val="15"/>
        </w:rPr>
        <w:t xml:space="preserve">  </w:t>
      </w:r>
      <w:r>
        <w:rPr>
          <w:rFonts w:hint="eastAsia"/>
          <w:sz w:val="15"/>
          <w:szCs w:val="15"/>
          <w:lang w:val="en-US" w:eastAsia="zh-CN"/>
        </w:rPr>
        <w:t>沪A17508A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