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杜孟杰</w:t>
      </w:r>
      <w:r>
        <w:rPr>
          <w:rFonts w:hint="eastAsia"/>
          <w:sz w:val="15"/>
          <w:szCs w:val="15"/>
          <w:highlight w:val="none"/>
        </w:rPr>
        <w:t>，</w:t>
      </w:r>
      <w:r>
        <w:rPr>
          <w:rFonts w:hint="eastAsia"/>
          <w:sz w:val="15"/>
          <w:szCs w:val="15"/>
          <w:highlight w:val="none"/>
          <w:lang w:val="en-US" w:eastAsia="zh-CN"/>
        </w:rPr>
        <w:t>13012619920613061X</w:t>
      </w:r>
      <w:r>
        <w:rPr>
          <w:rFonts w:hint="eastAsia"/>
          <w:sz w:val="15"/>
          <w:szCs w:val="15"/>
        </w:rPr>
        <w:t xml:space="preserve">  </w:t>
      </w:r>
      <w:r>
        <w:rPr>
          <w:rFonts w:hint="eastAsia"/>
          <w:sz w:val="15"/>
          <w:szCs w:val="15"/>
          <w:lang w:val="en-US" w:eastAsia="zh-CN"/>
        </w:rPr>
        <w:t>冀A57471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