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赵鹏辉</w:t>
      </w:r>
      <w:r>
        <w:rPr>
          <w:rFonts w:hint="eastAsia"/>
          <w:sz w:val="15"/>
          <w:szCs w:val="15"/>
          <w:highlight w:val="none"/>
        </w:rPr>
        <w:t>，</w:t>
      </w:r>
      <w:r>
        <w:rPr>
          <w:rFonts w:hint="eastAsia"/>
          <w:sz w:val="15"/>
          <w:szCs w:val="15"/>
          <w:highlight w:val="none"/>
          <w:lang w:val="en-US" w:eastAsia="zh-CN"/>
        </w:rPr>
        <w:t>130126198801152798</w:t>
      </w:r>
      <w:r>
        <w:rPr>
          <w:rFonts w:hint="eastAsia"/>
          <w:sz w:val="15"/>
          <w:szCs w:val="15"/>
        </w:rPr>
        <w:t xml:space="preserve">  </w:t>
      </w:r>
      <w:r>
        <w:rPr>
          <w:rFonts w:hint="eastAsia"/>
          <w:sz w:val="15"/>
          <w:szCs w:val="15"/>
          <w:lang w:val="en-US" w:eastAsia="zh-CN"/>
        </w:rPr>
        <w:t>冀A038WS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