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580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尚秋志</w:t>
      </w:r>
      <w:r>
        <w:rPr>
          <w:rFonts w:hint="eastAsia"/>
          <w:sz w:val="15"/>
          <w:szCs w:val="15"/>
          <w:highlight w:val="none"/>
        </w:rPr>
        <w:t>，</w:t>
      </w:r>
      <w:r>
        <w:rPr>
          <w:rFonts w:hint="eastAsia"/>
          <w:sz w:val="15"/>
          <w:szCs w:val="15"/>
          <w:highlight w:val="none"/>
          <w:lang w:val="en-US" w:eastAsia="zh-CN"/>
        </w:rPr>
        <w:t>130126199108293036</w:t>
      </w:r>
      <w:r>
        <w:rPr>
          <w:rFonts w:hint="eastAsia"/>
          <w:sz w:val="15"/>
          <w:szCs w:val="15"/>
        </w:rPr>
        <w:t xml:space="preserve">  </w:t>
      </w:r>
      <w:r>
        <w:rPr>
          <w:rFonts w:hint="eastAsia"/>
          <w:sz w:val="15"/>
          <w:szCs w:val="15"/>
          <w:lang w:val="en-US" w:eastAsia="zh-CN"/>
        </w:rPr>
        <w:t>冀A6702U</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