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刘彦兵</w:t>
      </w:r>
      <w:r>
        <w:rPr>
          <w:rFonts w:hint="eastAsia"/>
          <w:sz w:val="15"/>
          <w:szCs w:val="15"/>
          <w:highlight w:val="none"/>
        </w:rPr>
        <w:t>，</w:t>
      </w:r>
      <w:r>
        <w:rPr>
          <w:rFonts w:hint="eastAsia"/>
          <w:sz w:val="15"/>
          <w:szCs w:val="15"/>
          <w:highlight w:val="none"/>
          <w:lang w:val="en-US" w:eastAsia="zh-CN"/>
        </w:rPr>
        <w:t>130131197908294215</w:t>
      </w:r>
      <w:r>
        <w:rPr>
          <w:rFonts w:hint="eastAsia"/>
          <w:sz w:val="15"/>
          <w:szCs w:val="15"/>
        </w:rPr>
        <w:t xml:space="preserve">  </w:t>
      </w:r>
      <w:r>
        <w:rPr>
          <w:rFonts w:hint="eastAsia"/>
          <w:sz w:val="15"/>
          <w:szCs w:val="15"/>
          <w:lang w:val="en-US" w:eastAsia="zh-CN"/>
        </w:rPr>
        <w:t>沪A75680D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