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刘利刚</w:t>
      </w:r>
      <w:r>
        <w:rPr>
          <w:rFonts w:hint="eastAsia"/>
          <w:sz w:val="15"/>
          <w:szCs w:val="15"/>
          <w:highlight w:val="none"/>
        </w:rPr>
        <w:t>，</w:t>
      </w:r>
      <w:r>
        <w:rPr>
          <w:rFonts w:hint="eastAsia"/>
          <w:sz w:val="15"/>
          <w:szCs w:val="15"/>
          <w:highlight w:val="none"/>
          <w:lang w:val="en-US" w:eastAsia="zh-CN"/>
        </w:rPr>
        <w:t>13013119801124391X</w:t>
      </w:r>
      <w:r>
        <w:rPr>
          <w:rFonts w:hint="eastAsia"/>
          <w:sz w:val="15"/>
          <w:szCs w:val="15"/>
        </w:rPr>
        <w:t xml:space="preserve">  </w:t>
      </w:r>
      <w:r>
        <w:rPr>
          <w:rFonts w:hint="eastAsia"/>
          <w:sz w:val="15"/>
          <w:szCs w:val="15"/>
          <w:lang w:val="en-US" w:eastAsia="zh-CN"/>
        </w:rPr>
        <w:t>冀A6743V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