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苏立刚</w:t>
      </w:r>
      <w:r>
        <w:rPr>
          <w:rFonts w:hint="eastAsia"/>
          <w:sz w:val="15"/>
          <w:szCs w:val="15"/>
          <w:highlight w:val="none"/>
        </w:rPr>
        <w:t>，</w:t>
      </w:r>
      <w:r>
        <w:rPr>
          <w:rFonts w:hint="eastAsia"/>
          <w:sz w:val="15"/>
          <w:szCs w:val="15"/>
          <w:highlight w:val="none"/>
          <w:lang w:val="en-US" w:eastAsia="zh-CN"/>
        </w:rPr>
        <w:t>132337197312281836</w:t>
      </w:r>
      <w:r>
        <w:rPr>
          <w:rFonts w:hint="eastAsia"/>
          <w:sz w:val="15"/>
          <w:szCs w:val="15"/>
        </w:rPr>
        <w:t xml:space="preserve">  </w:t>
      </w:r>
      <w:r>
        <w:rPr>
          <w:rFonts w:hint="eastAsia"/>
          <w:sz w:val="15"/>
          <w:szCs w:val="15"/>
          <w:lang w:val="en-US" w:eastAsia="zh-CN"/>
        </w:rPr>
        <w:t>冀AD8864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