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张志强</w:t>
      </w:r>
      <w:r>
        <w:rPr>
          <w:rFonts w:hint="eastAsia"/>
          <w:sz w:val="15"/>
          <w:szCs w:val="15"/>
          <w:highlight w:val="none"/>
        </w:rPr>
        <w:t>，</w:t>
      </w:r>
      <w:r>
        <w:rPr>
          <w:rFonts w:hint="eastAsia"/>
          <w:sz w:val="15"/>
          <w:szCs w:val="15"/>
          <w:highlight w:val="none"/>
          <w:lang w:val="en-US" w:eastAsia="zh-CN"/>
        </w:rPr>
        <w:t>132337197601181831</w:t>
      </w:r>
      <w:r>
        <w:rPr>
          <w:rFonts w:hint="eastAsia"/>
          <w:sz w:val="15"/>
          <w:szCs w:val="15"/>
        </w:rPr>
        <w:t xml:space="preserve">  </w:t>
      </w:r>
      <w:r>
        <w:rPr>
          <w:rFonts w:hint="eastAsia"/>
          <w:sz w:val="15"/>
          <w:szCs w:val="15"/>
          <w:lang w:val="en-US" w:eastAsia="zh-CN"/>
        </w:rPr>
        <w:t>冀A80X25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