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555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汪立辉</w:t>
      </w:r>
      <w:r>
        <w:rPr>
          <w:rFonts w:hint="eastAsia"/>
          <w:sz w:val="15"/>
          <w:szCs w:val="15"/>
          <w:highlight w:val="none"/>
        </w:rPr>
        <w:t>，</w:t>
      </w:r>
      <w:r>
        <w:rPr>
          <w:rFonts w:hint="eastAsia"/>
          <w:sz w:val="15"/>
          <w:szCs w:val="15"/>
          <w:highlight w:val="none"/>
          <w:lang w:val="en-US" w:eastAsia="zh-CN"/>
        </w:rPr>
        <w:t>132337197509031435</w:t>
      </w:r>
      <w:r>
        <w:rPr>
          <w:rFonts w:hint="eastAsia"/>
          <w:sz w:val="15"/>
          <w:szCs w:val="15"/>
        </w:rPr>
        <w:t xml:space="preserve">  </w:t>
      </w:r>
      <w:r>
        <w:rPr>
          <w:rFonts w:hint="eastAsia"/>
          <w:sz w:val="15"/>
          <w:szCs w:val="15"/>
          <w:lang w:val="en-US" w:eastAsia="zh-CN"/>
        </w:rPr>
        <w:t>冀A65B50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