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张法生</w:t>
      </w:r>
      <w:r>
        <w:rPr>
          <w:rFonts w:hint="eastAsia"/>
          <w:sz w:val="15"/>
          <w:szCs w:val="15"/>
          <w:highlight w:val="none"/>
        </w:rPr>
        <w:t>，</w:t>
      </w:r>
      <w:r>
        <w:rPr>
          <w:rFonts w:hint="eastAsia"/>
          <w:sz w:val="15"/>
          <w:szCs w:val="15"/>
          <w:highlight w:val="none"/>
          <w:lang w:val="en-US" w:eastAsia="zh-CN"/>
        </w:rPr>
        <w:t>132337197707212034</w:t>
      </w:r>
      <w:r>
        <w:rPr>
          <w:rFonts w:hint="eastAsia"/>
          <w:sz w:val="15"/>
          <w:szCs w:val="15"/>
        </w:rPr>
        <w:t xml:space="preserve">  </w:t>
      </w:r>
      <w:r>
        <w:rPr>
          <w:rFonts w:hint="eastAsia"/>
          <w:sz w:val="15"/>
          <w:szCs w:val="15"/>
          <w:lang w:val="en-US" w:eastAsia="zh-CN"/>
        </w:rPr>
        <w:t>冀AV3039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