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525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付志高</w:t>
      </w:r>
      <w:r>
        <w:rPr>
          <w:rFonts w:hint="eastAsia"/>
          <w:sz w:val="15"/>
          <w:szCs w:val="15"/>
          <w:highlight w:val="none"/>
        </w:rPr>
        <w:t>，</w:t>
      </w:r>
      <w:r>
        <w:rPr>
          <w:rFonts w:hint="eastAsia"/>
          <w:sz w:val="15"/>
          <w:szCs w:val="15"/>
          <w:highlight w:val="none"/>
          <w:lang w:val="en-US" w:eastAsia="zh-CN"/>
        </w:rPr>
        <w:t>130131198302113912</w:t>
      </w:r>
      <w:r>
        <w:rPr>
          <w:rFonts w:hint="eastAsia"/>
          <w:sz w:val="15"/>
          <w:szCs w:val="15"/>
        </w:rPr>
        <w:t xml:space="preserve">  </w:t>
      </w:r>
      <w:r>
        <w:rPr>
          <w:rFonts w:hint="eastAsia"/>
          <w:sz w:val="15"/>
          <w:szCs w:val="15"/>
          <w:lang w:val="en-US" w:eastAsia="zh-CN"/>
        </w:rPr>
        <w:t>冀A8006Y</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