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冀艳强</w:t>
      </w:r>
      <w:r>
        <w:rPr>
          <w:rFonts w:hint="eastAsia"/>
          <w:sz w:val="15"/>
          <w:szCs w:val="15"/>
          <w:highlight w:val="none"/>
        </w:rPr>
        <w:t>，</w:t>
      </w:r>
      <w:r>
        <w:rPr>
          <w:rFonts w:hint="eastAsia"/>
          <w:sz w:val="15"/>
          <w:szCs w:val="15"/>
          <w:highlight w:val="none"/>
          <w:lang w:val="en-US" w:eastAsia="zh-CN"/>
        </w:rPr>
        <w:t>130131198209223914</w:t>
      </w:r>
      <w:r>
        <w:rPr>
          <w:rFonts w:hint="eastAsia"/>
          <w:sz w:val="15"/>
          <w:szCs w:val="15"/>
        </w:rPr>
        <w:t xml:space="preserve">  </w:t>
      </w:r>
      <w:r>
        <w:rPr>
          <w:rFonts w:hint="eastAsia"/>
          <w:sz w:val="15"/>
          <w:szCs w:val="15"/>
          <w:lang w:val="en-US" w:eastAsia="zh-CN"/>
        </w:rPr>
        <w:t>冀A39728D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