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靳玲坡</w:t>
      </w:r>
      <w:r>
        <w:rPr>
          <w:rFonts w:hint="eastAsia"/>
          <w:sz w:val="15"/>
          <w:szCs w:val="15"/>
          <w:highlight w:val="none"/>
        </w:rPr>
        <w:t>，</w:t>
      </w:r>
      <w:r>
        <w:rPr>
          <w:rFonts w:hint="eastAsia"/>
          <w:sz w:val="15"/>
          <w:szCs w:val="15"/>
          <w:highlight w:val="none"/>
          <w:lang w:val="en-US" w:eastAsia="zh-CN"/>
        </w:rPr>
        <w:t>132336198111250310</w:t>
      </w:r>
      <w:r>
        <w:rPr>
          <w:rFonts w:hint="eastAsia"/>
          <w:sz w:val="15"/>
          <w:szCs w:val="15"/>
        </w:rPr>
        <w:t xml:space="preserve">  </w:t>
      </w:r>
      <w:r>
        <w:rPr>
          <w:rFonts w:hint="eastAsia"/>
          <w:sz w:val="15"/>
          <w:szCs w:val="15"/>
          <w:lang w:val="en-US" w:eastAsia="zh-CN"/>
        </w:rPr>
        <w:t>冀A795GG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