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杨志丰</w:t>
      </w:r>
      <w:r>
        <w:rPr>
          <w:rFonts w:hint="eastAsia"/>
          <w:sz w:val="15"/>
          <w:szCs w:val="15"/>
          <w:highlight w:val="none"/>
        </w:rPr>
        <w:t>，</w:t>
      </w:r>
      <w:r>
        <w:rPr>
          <w:rFonts w:hint="eastAsia"/>
          <w:sz w:val="15"/>
          <w:szCs w:val="15"/>
          <w:highlight w:val="none"/>
          <w:lang w:val="en-US" w:eastAsia="zh-CN"/>
        </w:rPr>
        <w:t>130131198309270056</w:t>
      </w:r>
      <w:r>
        <w:rPr>
          <w:rFonts w:hint="eastAsia"/>
          <w:sz w:val="15"/>
          <w:szCs w:val="15"/>
        </w:rPr>
        <w:t xml:space="preserve">  </w:t>
      </w:r>
      <w:r>
        <w:rPr>
          <w:rFonts w:hint="eastAsia"/>
          <w:sz w:val="15"/>
          <w:szCs w:val="15"/>
          <w:lang w:val="en-US" w:eastAsia="zh-CN"/>
        </w:rPr>
        <w:t>冀A632AW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