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康永伟</w:t>
      </w:r>
      <w:r>
        <w:rPr>
          <w:rFonts w:hint="eastAsia"/>
          <w:sz w:val="15"/>
          <w:szCs w:val="15"/>
          <w:highlight w:val="none"/>
        </w:rPr>
        <w:t>，</w:t>
      </w:r>
      <w:r>
        <w:rPr>
          <w:rFonts w:hint="eastAsia"/>
          <w:sz w:val="15"/>
          <w:szCs w:val="15"/>
          <w:highlight w:val="none"/>
          <w:lang w:val="en-US" w:eastAsia="zh-CN"/>
        </w:rPr>
        <w:t>13013119870326421X</w:t>
      </w:r>
      <w:r>
        <w:rPr>
          <w:rFonts w:hint="eastAsia"/>
          <w:sz w:val="15"/>
          <w:szCs w:val="15"/>
        </w:rPr>
        <w:t xml:space="preserve">  </w:t>
      </w:r>
      <w:r>
        <w:rPr>
          <w:rFonts w:hint="eastAsia"/>
          <w:sz w:val="15"/>
          <w:szCs w:val="15"/>
          <w:lang w:val="en-US" w:eastAsia="zh-CN"/>
        </w:rPr>
        <w:t>沪A19109A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