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聂红永</w:t>
      </w:r>
      <w:r>
        <w:rPr>
          <w:rFonts w:hint="eastAsia"/>
          <w:sz w:val="15"/>
          <w:szCs w:val="15"/>
          <w:highlight w:val="none"/>
        </w:rPr>
        <w:t>，</w:t>
      </w:r>
      <w:r>
        <w:rPr>
          <w:rFonts w:hint="eastAsia"/>
          <w:sz w:val="15"/>
          <w:szCs w:val="15"/>
          <w:highlight w:val="none"/>
          <w:lang w:val="en-US" w:eastAsia="zh-CN"/>
        </w:rPr>
        <w:t>132336197403091337</w:t>
      </w:r>
      <w:r>
        <w:rPr>
          <w:rFonts w:hint="eastAsia"/>
          <w:sz w:val="15"/>
          <w:szCs w:val="15"/>
        </w:rPr>
        <w:t xml:space="preserve">  </w:t>
      </w:r>
      <w:r>
        <w:rPr>
          <w:rFonts w:hint="eastAsia"/>
          <w:sz w:val="15"/>
          <w:szCs w:val="15"/>
          <w:lang w:val="en-US" w:eastAsia="zh-CN"/>
        </w:rPr>
        <w:t>冀T05395D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