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任新红</w:t>
      </w:r>
      <w:r>
        <w:rPr>
          <w:rFonts w:hint="eastAsia"/>
          <w:sz w:val="15"/>
          <w:szCs w:val="15"/>
          <w:highlight w:val="none"/>
        </w:rPr>
        <w:t>，</w:t>
      </w:r>
      <w:r>
        <w:rPr>
          <w:rFonts w:hint="eastAsia"/>
          <w:sz w:val="15"/>
          <w:szCs w:val="15"/>
          <w:highlight w:val="none"/>
          <w:lang w:val="en-US" w:eastAsia="zh-CN"/>
        </w:rPr>
        <w:t>130131198504011535</w:t>
      </w:r>
      <w:r>
        <w:rPr>
          <w:rFonts w:hint="eastAsia"/>
          <w:sz w:val="15"/>
          <w:szCs w:val="15"/>
        </w:rPr>
        <w:t xml:space="preserve">  </w:t>
      </w:r>
      <w:r>
        <w:rPr>
          <w:rFonts w:hint="eastAsia"/>
          <w:sz w:val="15"/>
          <w:szCs w:val="15"/>
          <w:lang w:val="en-US" w:eastAsia="zh-CN"/>
        </w:rPr>
        <w:t>冀A616CB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