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张建钢</w:t>
      </w:r>
      <w:r>
        <w:rPr>
          <w:rFonts w:hint="eastAsia"/>
          <w:sz w:val="15"/>
          <w:szCs w:val="15"/>
          <w:highlight w:val="none"/>
        </w:rPr>
        <w:t>，</w:t>
      </w:r>
      <w:r>
        <w:rPr>
          <w:rFonts w:hint="eastAsia"/>
          <w:sz w:val="15"/>
          <w:szCs w:val="15"/>
          <w:highlight w:val="none"/>
          <w:lang w:val="en-US" w:eastAsia="zh-CN"/>
        </w:rPr>
        <w:t>130121198505180012</w:t>
      </w:r>
      <w:r>
        <w:rPr>
          <w:rFonts w:hint="eastAsia"/>
          <w:sz w:val="15"/>
          <w:szCs w:val="15"/>
        </w:rPr>
        <w:t xml:space="preserve">  </w:t>
      </w:r>
      <w:r>
        <w:rPr>
          <w:rFonts w:hint="eastAsia"/>
          <w:sz w:val="15"/>
          <w:szCs w:val="15"/>
          <w:lang w:val="en-US" w:eastAsia="zh-CN"/>
        </w:rPr>
        <w:t>冀A37447D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