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李卫东</w:t>
      </w:r>
      <w:r>
        <w:rPr>
          <w:rFonts w:hint="eastAsia"/>
          <w:sz w:val="15"/>
          <w:szCs w:val="15"/>
          <w:highlight w:val="none"/>
        </w:rPr>
        <w:t>，</w:t>
      </w:r>
      <w:r>
        <w:rPr>
          <w:rFonts w:hint="eastAsia"/>
          <w:sz w:val="15"/>
          <w:szCs w:val="15"/>
          <w:highlight w:val="none"/>
          <w:lang w:val="en-US" w:eastAsia="zh-CN"/>
        </w:rPr>
        <w:t>130125199112142031</w:t>
      </w:r>
      <w:r>
        <w:rPr>
          <w:rFonts w:hint="eastAsia"/>
          <w:sz w:val="15"/>
          <w:szCs w:val="15"/>
        </w:rPr>
        <w:t xml:space="preserve">  </w:t>
      </w:r>
      <w:r>
        <w:rPr>
          <w:rFonts w:hint="eastAsia"/>
          <w:sz w:val="15"/>
          <w:szCs w:val="15"/>
          <w:lang w:val="en-US" w:eastAsia="zh-CN"/>
        </w:rPr>
        <w:t>冀A44385D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