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刘军龙</w:t>
      </w:r>
      <w:r>
        <w:rPr>
          <w:rFonts w:hint="eastAsia"/>
          <w:sz w:val="15"/>
          <w:szCs w:val="15"/>
          <w:highlight w:val="none"/>
        </w:rPr>
        <w:t>，</w:t>
      </w:r>
      <w:r>
        <w:rPr>
          <w:rFonts w:hint="eastAsia"/>
          <w:sz w:val="15"/>
          <w:szCs w:val="15"/>
          <w:highlight w:val="none"/>
          <w:lang w:val="en-US" w:eastAsia="zh-CN"/>
        </w:rPr>
        <w:t>130125198812294517</w:t>
      </w:r>
      <w:r>
        <w:rPr>
          <w:rFonts w:hint="eastAsia"/>
          <w:sz w:val="15"/>
          <w:szCs w:val="15"/>
        </w:rPr>
        <w:t xml:space="preserve">  </w:t>
      </w:r>
      <w:r>
        <w:rPr>
          <w:rFonts w:hint="eastAsia"/>
          <w:sz w:val="15"/>
          <w:szCs w:val="15"/>
          <w:lang w:val="en-US" w:eastAsia="zh-CN"/>
        </w:rPr>
        <w:t>冀A35899D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