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罗佳</w:t>
      </w:r>
      <w:r>
        <w:rPr>
          <w:rFonts w:hint="eastAsia"/>
          <w:sz w:val="15"/>
          <w:szCs w:val="15"/>
          <w:highlight w:val="none"/>
        </w:rPr>
        <w:t>，</w:t>
      </w:r>
      <w:r>
        <w:rPr>
          <w:rFonts w:hint="eastAsia"/>
          <w:sz w:val="15"/>
          <w:szCs w:val="15"/>
          <w:highlight w:val="none"/>
          <w:lang w:val="en-US" w:eastAsia="zh-CN"/>
        </w:rPr>
        <w:t>130125198601018010</w:t>
      </w:r>
      <w:r>
        <w:rPr>
          <w:rFonts w:hint="eastAsia"/>
          <w:sz w:val="15"/>
          <w:szCs w:val="15"/>
        </w:rPr>
        <w:t xml:space="preserve">  </w:t>
      </w:r>
      <w:r>
        <w:rPr>
          <w:rFonts w:hint="eastAsia"/>
          <w:sz w:val="15"/>
          <w:szCs w:val="15"/>
          <w:lang w:val="en-US" w:eastAsia="zh-CN"/>
        </w:rPr>
        <w:t>冀A07V63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