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易世杰</w:t>
      </w:r>
      <w:r>
        <w:rPr>
          <w:rFonts w:hint="eastAsia"/>
          <w:sz w:val="15"/>
          <w:szCs w:val="15"/>
          <w:highlight w:val="none"/>
        </w:rPr>
        <w:t>，</w:t>
      </w:r>
      <w:r>
        <w:rPr>
          <w:rFonts w:hint="eastAsia"/>
          <w:sz w:val="15"/>
          <w:szCs w:val="15"/>
          <w:highlight w:val="none"/>
          <w:lang w:val="en-US" w:eastAsia="zh-CN"/>
        </w:rPr>
        <w:t>13012519940715753X</w:t>
      </w:r>
      <w:r>
        <w:rPr>
          <w:rFonts w:hint="eastAsia"/>
          <w:sz w:val="15"/>
          <w:szCs w:val="15"/>
        </w:rPr>
        <w:t xml:space="preserve">  </w:t>
      </w:r>
      <w:r>
        <w:rPr>
          <w:rFonts w:hint="eastAsia"/>
          <w:sz w:val="15"/>
          <w:szCs w:val="15"/>
          <w:lang w:val="en-US" w:eastAsia="zh-CN"/>
        </w:rPr>
        <w:t>冀A1B665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