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王明</w:t>
      </w:r>
      <w:r>
        <w:rPr>
          <w:rFonts w:hint="eastAsia"/>
          <w:sz w:val="15"/>
          <w:szCs w:val="15"/>
          <w:highlight w:val="none"/>
        </w:rPr>
        <w:t>，</w:t>
      </w:r>
      <w:r>
        <w:rPr>
          <w:rFonts w:hint="eastAsia"/>
          <w:sz w:val="15"/>
          <w:szCs w:val="15"/>
          <w:highlight w:val="none"/>
          <w:lang w:val="en-US" w:eastAsia="zh-CN"/>
        </w:rPr>
        <w:t>13012119920810101X</w:t>
      </w:r>
      <w:r>
        <w:rPr>
          <w:rFonts w:hint="eastAsia"/>
          <w:sz w:val="15"/>
          <w:szCs w:val="15"/>
        </w:rPr>
        <w:t xml:space="preserve">  </w:t>
      </w:r>
      <w:r>
        <w:rPr>
          <w:rFonts w:hint="eastAsia"/>
          <w:sz w:val="15"/>
          <w:szCs w:val="15"/>
          <w:lang w:val="en-US" w:eastAsia="zh-CN"/>
        </w:rPr>
        <w:t>冀A4344P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