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武银斗</w:t>
      </w:r>
      <w:r>
        <w:rPr>
          <w:rFonts w:hint="eastAsia"/>
          <w:sz w:val="15"/>
          <w:szCs w:val="15"/>
          <w:highlight w:val="none"/>
        </w:rPr>
        <w:t>，</w:t>
      </w:r>
      <w:r>
        <w:rPr>
          <w:rFonts w:hint="eastAsia"/>
          <w:sz w:val="15"/>
          <w:szCs w:val="15"/>
          <w:highlight w:val="none"/>
          <w:lang w:val="en-US" w:eastAsia="zh-CN"/>
        </w:rPr>
        <w:t>130184198110130614</w:t>
      </w:r>
      <w:r>
        <w:rPr>
          <w:rFonts w:hint="eastAsia"/>
          <w:sz w:val="15"/>
          <w:szCs w:val="15"/>
        </w:rPr>
        <w:t xml:space="preserve">  </w:t>
      </w:r>
      <w:r>
        <w:rPr>
          <w:rFonts w:hint="eastAsia"/>
          <w:sz w:val="15"/>
          <w:szCs w:val="15"/>
          <w:lang w:val="en-US" w:eastAsia="zh-CN"/>
        </w:rPr>
        <w:t>冀ATJ018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