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刘会娟</w:t>
      </w:r>
      <w:r>
        <w:rPr>
          <w:rFonts w:hint="eastAsia"/>
          <w:sz w:val="15"/>
          <w:szCs w:val="15"/>
          <w:highlight w:val="none"/>
        </w:rPr>
        <w:t>，</w:t>
      </w:r>
      <w:r>
        <w:rPr>
          <w:rFonts w:hint="eastAsia"/>
          <w:sz w:val="15"/>
          <w:szCs w:val="15"/>
          <w:highlight w:val="none"/>
          <w:lang w:val="en-US" w:eastAsia="zh-CN"/>
        </w:rPr>
        <w:t>132337197208190221</w:t>
      </w:r>
      <w:r>
        <w:rPr>
          <w:rFonts w:hint="eastAsia"/>
          <w:sz w:val="15"/>
          <w:szCs w:val="15"/>
        </w:rPr>
        <w:t xml:space="preserve">  </w:t>
      </w:r>
      <w:r>
        <w:rPr>
          <w:rFonts w:hint="eastAsia"/>
          <w:sz w:val="15"/>
          <w:szCs w:val="15"/>
          <w:lang w:val="en-US" w:eastAsia="zh-CN"/>
        </w:rPr>
        <w:t>冀A9675U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