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刘伟朋</w:t>
      </w:r>
      <w:r>
        <w:rPr>
          <w:rFonts w:hint="eastAsia"/>
          <w:sz w:val="15"/>
          <w:szCs w:val="15"/>
          <w:highlight w:val="none"/>
        </w:rPr>
        <w:t>，</w:t>
      </w:r>
      <w:r>
        <w:rPr>
          <w:rFonts w:hint="eastAsia"/>
          <w:sz w:val="15"/>
          <w:szCs w:val="15"/>
          <w:highlight w:val="none"/>
          <w:lang w:val="en-US" w:eastAsia="zh-CN"/>
        </w:rPr>
        <w:t>130530198501271513</w:t>
      </w:r>
      <w:r>
        <w:rPr>
          <w:rFonts w:hint="eastAsia"/>
          <w:sz w:val="15"/>
          <w:szCs w:val="15"/>
        </w:rPr>
        <w:t xml:space="preserve">  </w:t>
      </w:r>
      <w:r>
        <w:rPr>
          <w:rFonts w:hint="eastAsia"/>
          <w:sz w:val="15"/>
          <w:szCs w:val="15"/>
          <w:lang w:val="en-US" w:eastAsia="zh-CN"/>
        </w:rPr>
        <w:t>沪A83387D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