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杨英杰</w:t>
      </w:r>
      <w:r>
        <w:rPr>
          <w:rFonts w:hint="eastAsia"/>
          <w:sz w:val="15"/>
          <w:szCs w:val="15"/>
          <w:highlight w:val="none"/>
        </w:rPr>
        <w:t>，</w:t>
      </w:r>
      <w:r>
        <w:rPr>
          <w:rFonts w:hint="eastAsia"/>
          <w:sz w:val="15"/>
          <w:szCs w:val="15"/>
          <w:highlight w:val="none"/>
          <w:lang w:val="en-US" w:eastAsia="zh-CN"/>
        </w:rPr>
        <w:t>130126199103292712</w:t>
      </w:r>
      <w:r>
        <w:rPr>
          <w:rFonts w:hint="eastAsia"/>
          <w:sz w:val="15"/>
          <w:szCs w:val="15"/>
        </w:rPr>
        <w:t xml:space="preserve">  </w:t>
      </w:r>
      <w:r>
        <w:rPr>
          <w:rFonts w:hint="eastAsia"/>
          <w:sz w:val="15"/>
          <w:szCs w:val="15"/>
          <w:lang w:val="en-US" w:eastAsia="zh-CN"/>
        </w:rPr>
        <w:t>冀AX6401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