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张浩楠</w:t>
      </w:r>
      <w:r>
        <w:rPr>
          <w:rFonts w:hint="eastAsia"/>
          <w:sz w:val="15"/>
          <w:szCs w:val="15"/>
          <w:highlight w:val="none"/>
        </w:rPr>
        <w:t>，</w:t>
      </w:r>
      <w:r>
        <w:rPr>
          <w:rFonts w:hint="eastAsia"/>
          <w:sz w:val="15"/>
          <w:szCs w:val="15"/>
          <w:highlight w:val="none"/>
          <w:lang w:val="en-US" w:eastAsia="zh-CN"/>
        </w:rPr>
        <w:t>130125200309198018</w:t>
      </w:r>
      <w:r>
        <w:rPr>
          <w:rFonts w:hint="eastAsia"/>
          <w:sz w:val="15"/>
          <w:szCs w:val="15"/>
        </w:rPr>
        <w:t xml:space="preserve">  </w:t>
      </w:r>
      <w:r>
        <w:rPr>
          <w:rFonts w:hint="eastAsia"/>
          <w:sz w:val="15"/>
          <w:szCs w:val="15"/>
          <w:lang w:val="en-US" w:eastAsia="zh-CN"/>
        </w:rPr>
        <w:t>冀A56861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