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顾春红</w:t>
      </w:r>
      <w:r>
        <w:rPr>
          <w:rFonts w:hint="eastAsia"/>
          <w:sz w:val="15"/>
          <w:szCs w:val="15"/>
          <w:highlight w:val="none"/>
        </w:rPr>
        <w:t>，</w:t>
      </w:r>
      <w:r>
        <w:rPr>
          <w:rFonts w:hint="eastAsia"/>
          <w:sz w:val="15"/>
          <w:szCs w:val="15"/>
          <w:highlight w:val="none"/>
          <w:lang w:val="en-US" w:eastAsia="zh-CN"/>
        </w:rPr>
        <w:t>130125197012078010</w:t>
      </w:r>
      <w:r>
        <w:rPr>
          <w:rFonts w:hint="eastAsia"/>
          <w:sz w:val="15"/>
          <w:szCs w:val="15"/>
        </w:rPr>
        <w:t xml:space="preserve">  </w:t>
      </w:r>
      <w:r>
        <w:rPr>
          <w:rFonts w:hint="eastAsia"/>
          <w:sz w:val="15"/>
          <w:szCs w:val="15"/>
          <w:lang w:val="en-US" w:eastAsia="zh-CN"/>
        </w:rPr>
        <w:t>冀A52J13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