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顾金龙</w:t>
      </w:r>
      <w:r>
        <w:rPr>
          <w:rFonts w:hint="eastAsia"/>
          <w:sz w:val="15"/>
          <w:szCs w:val="15"/>
          <w:highlight w:val="none"/>
        </w:rPr>
        <w:t>，</w:t>
      </w:r>
      <w:r>
        <w:rPr>
          <w:rFonts w:hint="eastAsia"/>
          <w:sz w:val="15"/>
          <w:szCs w:val="15"/>
          <w:highlight w:val="none"/>
          <w:lang w:val="en-US" w:eastAsia="zh-CN"/>
        </w:rPr>
        <w:t>130125198510248013</w:t>
      </w:r>
      <w:r>
        <w:rPr>
          <w:rFonts w:hint="eastAsia"/>
          <w:sz w:val="15"/>
          <w:szCs w:val="15"/>
        </w:rPr>
        <w:t xml:space="preserve">  </w:t>
      </w:r>
      <w:r>
        <w:rPr>
          <w:rFonts w:hint="eastAsia"/>
          <w:sz w:val="15"/>
          <w:szCs w:val="15"/>
          <w:lang w:val="en-US" w:eastAsia="zh-CN"/>
        </w:rPr>
        <w:t>冀A579QF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