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郭吉林</w:t>
      </w:r>
      <w:r>
        <w:rPr>
          <w:rFonts w:hint="eastAsia"/>
          <w:sz w:val="15"/>
          <w:szCs w:val="15"/>
          <w:highlight w:val="none"/>
        </w:rPr>
        <w:t>，</w:t>
      </w:r>
      <w:r>
        <w:rPr>
          <w:rFonts w:hint="eastAsia"/>
          <w:sz w:val="15"/>
          <w:szCs w:val="15"/>
          <w:highlight w:val="none"/>
          <w:lang w:val="en-US" w:eastAsia="zh-CN"/>
        </w:rPr>
        <w:t>130125197907197010</w:t>
      </w:r>
      <w:r>
        <w:rPr>
          <w:rFonts w:hint="eastAsia"/>
          <w:sz w:val="15"/>
          <w:szCs w:val="15"/>
        </w:rPr>
        <w:t xml:space="preserve">  </w:t>
      </w:r>
      <w:r>
        <w:rPr>
          <w:rFonts w:hint="eastAsia"/>
          <w:sz w:val="15"/>
          <w:szCs w:val="15"/>
          <w:lang w:val="en-US" w:eastAsia="zh-CN"/>
        </w:rPr>
        <w:t>冀ALK436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