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郭京国</w:t>
      </w:r>
      <w:r>
        <w:rPr>
          <w:rFonts w:hint="eastAsia"/>
          <w:sz w:val="15"/>
          <w:szCs w:val="15"/>
          <w:highlight w:val="none"/>
        </w:rPr>
        <w:t>，</w:t>
      </w:r>
      <w:r>
        <w:rPr>
          <w:rFonts w:hint="eastAsia"/>
          <w:sz w:val="15"/>
          <w:szCs w:val="15"/>
          <w:highlight w:val="none"/>
          <w:lang w:val="en-US" w:eastAsia="zh-CN"/>
        </w:rPr>
        <w:t>132337197407052630</w:t>
      </w:r>
      <w:r>
        <w:rPr>
          <w:rFonts w:hint="eastAsia"/>
          <w:sz w:val="15"/>
          <w:szCs w:val="15"/>
        </w:rPr>
        <w:t xml:space="preserve">  </w:t>
      </w:r>
      <w:r>
        <w:rPr>
          <w:rFonts w:hint="eastAsia"/>
          <w:sz w:val="15"/>
          <w:szCs w:val="15"/>
          <w:lang w:val="en-US" w:eastAsia="zh-CN"/>
        </w:rPr>
        <w:t>冀A936TW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