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仲振红</w:t>
      </w:r>
      <w:r>
        <w:rPr>
          <w:rFonts w:hint="eastAsia"/>
          <w:sz w:val="15"/>
          <w:szCs w:val="15"/>
          <w:highlight w:val="none"/>
        </w:rPr>
        <w:t>，</w:t>
      </w:r>
      <w:r>
        <w:rPr>
          <w:rFonts w:hint="eastAsia"/>
          <w:sz w:val="15"/>
          <w:szCs w:val="15"/>
          <w:highlight w:val="none"/>
          <w:lang w:val="en-US" w:eastAsia="zh-CN"/>
        </w:rPr>
        <w:t>132337197605132439</w:t>
      </w:r>
      <w:r>
        <w:rPr>
          <w:rFonts w:hint="eastAsia"/>
          <w:sz w:val="15"/>
          <w:szCs w:val="15"/>
        </w:rPr>
        <w:t xml:space="preserve">  </w:t>
      </w:r>
      <w:r>
        <w:rPr>
          <w:rFonts w:hint="eastAsia"/>
          <w:sz w:val="15"/>
          <w:szCs w:val="15"/>
          <w:lang w:val="en-US" w:eastAsia="zh-CN"/>
        </w:rPr>
        <w:t>冀A72143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