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习增军</w:t>
      </w:r>
      <w:r>
        <w:rPr>
          <w:rFonts w:hint="eastAsia"/>
          <w:sz w:val="15"/>
          <w:szCs w:val="15"/>
          <w:highlight w:val="none"/>
        </w:rPr>
        <w:t>，</w:t>
      </w:r>
      <w:r>
        <w:rPr>
          <w:rFonts w:hint="eastAsia"/>
          <w:sz w:val="15"/>
          <w:szCs w:val="15"/>
          <w:highlight w:val="none"/>
          <w:lang w:val="en-US" w:eastAsia="zh-CN"/>
        </w:rPr>
        <w:t>132337198004243330</w:t>
      </w:r>
      <w:r>
        <w:rPr>
          <w:rFonts w:hint="eastAsia"/>
          <w:sz w:val="15"/>
          <w:szCs w:val="15"/>
        </w:rPr>
        <w:t xml:space="preserve">  </w:t>
      </w:r>
      <w:r>
        <w:rPr>
          <w:rFonts w:hint="eastAsia"/>
          <w:sz w:val="15"/>
          <w:szCs w:val="15"/>
          <w:lang w:val="en-US" w:eastAsia="zh-CN"/>
        </w:rPr>
        <w:t>冀AR1701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