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王彦琴</w:t>
      </w:r>
      <w:r>
        <w:rPr>
          <w:rFonts w:hint="eastAsia"/>
          <w:sz w:val="15"/>
          <w:szCs w:val="15"/>
          <w:highlight w:val="none"/>
        </w:rPr>
        <w:t>，</w:t>
      </w:r>
      <w:r>
        <w:rPr>
          <w:rFonts w:hint="eastAsia"/>
          <w:sz w:val="15"/>
          <w:szCs w:val="15"/>
          <w:highlight w:val="none"/>
          <w:lang w:val="en-US" w:eastAsia="zh-CN"/>
        </w:rPr>
        <w:t>130131198911110928</w:t>
      </w:r>
      <w:r>
        <w:rPr>
          <w:rFonts w:hint="eastAsia"/>
          <w:sz w:val="15"/>
          <w:szCs w:val="15"/>
        </w:rPr>
        <w:t xml:space="preserve">  </w:t>
      </w:r>
      <w:r>
        <w:rPr>
          <w:rFonts w:hint="eastAsia"/>
          <w:sz w:val="15"/>
          <w:szCs w:val="15"/>
          <w:lang w:val="en-US" w:eastAsia="zh-CN"/>
        </w:rPr>
        <w:t>冀A911L6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