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于彦军</w:t>
      </w:r>
      <w:r>
        <w:rPr>
          <w:rFonts w:hint="eastAsia"/>
          <w:sz w:val="15"/>
          <w:szCs w:val="15"/>
          <w:highlight w:val="none"/>
        </w:rPr>
        <w:t>，</w:t>
      </w:r>
      <w:r>
        <w:rPr>
          <w:rFonts w:hint="eastAsia"/>
          <w:sz w:val="15"/>
          <w:szCs w:val="15"/>
          <w:highlight w:val="none"/>
          <w:lang w:val="en-US" w:eastAsia="zh-CN"/>
        </w:rPr>
        <w:t>130121197611161013</w:t>
      </w:r>
      <w:r>
        <w:rPr>
          <w:rFonts w:hint="eastAsia"/>
          <w:sz w:val="15"/>
          <w:szCs w:val="15"/>
        </w:rPr>
        <w:t xml:space="preserve">  </w:t>
      </w:r>
      <w:r>
        <w:rPr>
          <w:rFonts w:hint="eastAsia"/>
          <w:sz w:val="15"/>
          <w:szCs w:val="15"/>
          <w:lang w:val="en-US" w:eastAsia="zh-CN"/>
        </w:rPr>
        <w:t>冀A62498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