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尹克亮</w:t>
      </w:r>
      <w:r>
        <w:rPr>
          <w:rFonts w:hint="eastAsia"/>
          <w:sz w:val="15"/>
          <w:szCs w:val="15"/>
          <w:highlight w:val="none"/>
        </w:rPr>
        <w:t>，</w:t>
      </w:r>
      <w:r>
        <w:rPr>
          <w:rFonts w:hint="eastAsia"/>
          <w:sz w:val="15"/>
          <w:szCs w:val="15"/>
          <w:highlight w:val="none"/>
          <w:lang w:val="en-US" w:eastAsia="zh-CN"/>
        </w:rPr>
        <w:t>130121198108301036</w:t>
      </w:r>
      <w:r>
        <w:rPr>
          <w:rFonts w:hint="eastAsia"/>
          <w:sz w:val="15"/>
          <w:szCs w:val="15"/>
        </w:rPr>
        <w:t xml:space="preserve">  </w:t>
      </w:r>
      <w:r>
        <w:rPr>
          <w:rFonts w:hint="eastAsia"/>
          <w:sz w:val="15"/>
          <w:szCs w:val="15"/>
          <w:lang w:val="en-US" w:eastAsia="zh-CN"/>
        </w:rPr>
        <w:t>冀A46760D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