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张忠刚</w:t>
      </w:r>
      <w:r>
        <w:rPr>
          <w:rFonts w:hint="eastAsia"/>
          <w:sz w:val="15"/>
          <w:szCs w:val="15"/>
          <w:highlight w:val="none"/>
        </w:rPr>
        <w:t>，</w:t>
      </w:r>
      <w:r>
        <w:rPr>
          <w:rFonts w:hint="eastAsia"/>
          <w:sz w:val="15"/>
          <w:szCs w:val="15"/>
          <w:highlight w:val="none"/>
          <w:lang w:val="en-US" w:eastAsia="zh-CN"/>
        </w:rPr>
        <w:t>142430198410282434</w:t>
      </w:r>
      <w:r>
        <w:rPr>
          <w:rFonts w:hint="eastAsia"/>
          <w:sz w:val="15"/>
          <w:szCs w:val="15"/>
        </w:rPr>
        <w:t xml:space="preserve">  </w:t>
      </w:r>
      <w:r>
        <w:rPr>
          <w:rFonts w:hint="eastAsia"/>
          <w:sz w:val="15"/>
          <w:szCs w:val="15"/>
          <w:lang w:val="en-US" w:eastAsia="zh-CN"/>
        </w:rPr>
        <w:t>晋KY6562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