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靳廷卫</w:t>
      </w:r>
      <w:r>
        <w:rPr>
          <w:rFonts w:hint="eastAsia"/>
          <w:sz w:val="15"/>
          <w:szCs w:val="15"/>
          <w:highlight w:val="none"/>
        </w:rPr>
        <w:t>，</w:t>
      </w:r>
      <w:r>
        <w:rPr>
          <w:rFonts w:hint="eastAsia"/>
          <w:sz w:val="15"/>
          <w:szCs w:val="15"/>
          <w:highlight w:val="none"/>
          <w:lang w:val="en-US" w:eastAsia="zh-CN"/>
        </w:rPr>
        <w:t>140112198005221717</w:t>
      </w:r>
      <w:r>
        <w:rPr>
          <w:rFonts w:hint="eastAsia"/>
          <w:sz w:val="15"/>
          <w:szCs w:val="15"/>
        </w:rPr>
        <w:t xml:space="preserve">  </w:t>
      </w:r>
      <w:r>
        <w:rPr>
          <w:rFonts w:hint="eastAsia"/>
          <w:sz w:val="15"/>
          <w:szCs w:val="15"/>
          <w:lang w:val="en-US" w:eastAsia="zh-CN"/>
        </w:rPr>
        <w:t>晋AG7982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