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索德龙</w:t>
      </w:r>
      <w:r>
        <w:rPr>
          <w:rFonts w:hint="eastAsia"/>
          <w:sz w:val="15"/>
          <w:szCs w:val="15"/>
          <w:highlight w:val="none"/>
        </w:rPr>
        <w:t>，</w:t>
      </w:r>
      <w:r>
        <w:rPr>
          <w:rFonts w:hint="eastAsia"/>
          <w:sz w:val="15"/>
          <w:szCs w:val="15"/>
          <w:highlight w:val="none"/>
          <w:lang w:val="en-US" w:eastAsia="zh-CN"/>
        </w:rPr>
        <w:t>142201197604074871</w:t>
      </w:r>
      <w:r>
        <w:rPr>
          <w:rFonts w:hint="eastAsia"/>
          <w:sz w:val="15"/>
          <w:szCs w:val="15"/>
        </w:rPr>
        <w:t xml:space="preserve">  </w:t>
      </w:r>
      <w:r>
        <w:rPr>
          <w:rFonts w:hint="eastAsia"/>
          <w:sz w:val="15"/>
          <w:szCs w:val="15"/>
          <w:lang w:val="en-US" w:eastAsia="zh-CN"/>
        </w:rPr>
        <w:t>晋HG4392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