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边玉治</w:t>
      </w:r>
      <w:r>
        <w:rPr>
          <w:rFonts w:hint="eastAsia"/>
          <w:sz w:val="15"/>
          <w:szCs w:val="15"/>
          <w:highlight w:val="none"/>
        </w:rPr>
        <w:t>，</w:t>
      </w:r>
      <w:r>
        <w:rPr>
          <w:rFonts w:hint="eastAsia"/>
          <w:sz w:val="15"/>
          <w:szCs w:val="15"/>
          <w:highlight w:val="none"/>
          <w:lang w:val="en-US" w:eastAsia="zh-CN"/>
        </w:rPr>
        <w:t>142223198108173611</w:t>
      </w:r>
      <w:r>
        <w:rPr>
          <w:rFonts w:hint="eastAsia"/>
          <w:sz w:val="15"/>
          <w:szCs w:val="15"/>
        </w:rPr>
        <w:t xml:space="preserve">  </w:t>
      </w:r>
      <w:r>
        <w:rPr>
          <w:rFonts w:hint="eastAsia"/>
          <w:sz w:val="15"/>
          <w:szCs w:val="15"/>
          <w:lang w:val="en-US" w:eastAsia="zh-CN"/>
        </w:rPr>
        <w:t>晋HZ7883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