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索利峰</w:t>
      </w:r>
      <w:r>
        <w:rPr>
          <w:rFonts w:hint="eastAsia"/>
          <w:sz w:val="15"/>
          <w:szCs w:val="15"/>
          <w:highlight w:val="none"/>
        </w:rPr>
        <w:t>，</w:t>
      </w:r>
      <w:r>
        <w:rPr>
          <w:rFonts w:hint="eastAsia"/>
          <w:sz w:val="15"/>
          <w:szCs w:val="15"/>
          <w:highlight w:val="none"/>
          <w:lang w:val="en-US" w:eastAsia="zh-CN"/>
        </w:rPr>
        <w:t>142201198204301451</w:t>
      </w:r>
      <w:r>
        <w:rPr>
          <w:rFonts w:hint="eastAsia"/>
          <w:sz w:val="15"/>
          <w:szCs w:val="15"/>
        </w:rPr>
        <w:t xml:space="preserve">  </w:t>
      </w:r>
      <w:r>
        <w:rPr>
          <w:rFonts w:hint="eastAsia"/>
          <w:sz w:val="15"/>
          <w:szCs w:val="15"/>
          <w:lang w:val="en-US" w:eastAsia="zh-CN"/>
        </w:rPr>
        <w:t>晋HZ8207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