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张子豪</w:t>
      </w:r>
      <w:r>
        <w:rPr>
          <w:rFonts w:hint="eastAsia"/>
          <w:sz w:val="15"/>
          <w:szCs w:val="15"/>
          <w:highlight w:val="none"/>
        </w:rPr>
        <w:t>，</w:t>
      </w:r>
      <w:r>
        <w:rPr>
          <w:rFonts w:hint="eastAsia"/>
          <w:sz w:val="15"/>
          <w:szCs w:val="15"/>
          <w:highlight w:val="none"/>
          <w:lang w:val="en-US" w:eastAsia="zh-CN"/>
        </w:rPr>
        <w:t>130525200302071913</w:t>
      </w:r>
      <w:r>
        <w:rPr>
          <w:rFonts w:hint="eastAsia"/>
          <w:sz w:val="15"/>
          <w:szCs w:val="15"/>
        </w:rPr>
        <w:t xml:space="preserve">  </w:t>
      </w:r>
      <w:r>
        <w:rPr>
          <w:rFonts w:hint="eastAsia"/>
          <w:sz w:val="15"/>
          <w:szCs w:val="15"/>
          <w:lang w:val="en-US" w:eastAsia="zh-CN"/>
        </w:rPr>
        <w:t>冀A182YA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